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2"/>
        <w:tblW w:w="102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2126"/>
      </w:tblGrid>
      <w:tr w:rsidR="00E950B0" w:rsidRPr="004B239B" w14:paraId="77039CB4" w14:textId="77777777" w:rsidTr="006A61DF">
        <w:trPr>
          <w:trHeight w:val="1049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0289" w14:textId="77777777" w:rsidR="00E950B0" w:rsidRPr="00C96A81" w:rsidRDefault="00E950B0" w:rsidP="006A61DF">
            <w:pPr>
              <w:pStyle w:val="SchlagzeilePressemitteilung"/>
              <w:framePr w:w="0" w:hRule="auto" w:wrap="auto" w:vAnchor="margin" w:hAnchor="text" w:xAlign="left" w:yAlign="inline"/>
              <w:spacing w:line="240" w:lineRule="auto"/>
              <w:ind w:left="142"/>
              <w:rPr>
                <w:rFonts w:cs="Arial"/>
                <w:color w:val="7A716F"/>
                <w:sz w:val="40"/>
                <w:szCs w:val="40"/>
                <w:lang w:bidi="de-DE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F938" w14:textId="77777777" w:rsidR="00E950B0" w:rsidRPr="004B239B" w:rsidRDefault="00E950B0" w:rsidP="004B239B">
            <w:pPr>
              <w:tabs>
                <w:tab w:val="center" w:pos="4513"/>
                <w:tab w:val="right" w:pos="9026"/>
              </w:tabs>
              <w:jc w:val="left"/>
            </w:pPr>
          </w:p>
        </w:tc>
      </w:tr>
      <w:tr w:rsidR="004B239B" w:rsidRPr="004B239B" w14:paraId="1391366F" w14:textId="77777777" w:rsidTr="001E2E86">
        <w:trPr>
          <w:trHeight w:val="2075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8A8B" w14:textId="796C2AA8" w:rsidR="004B239B" w:rsidRPr="004B239B" w:rsidRDefault="00E92513" w:rsidP="00AF68F1">
            <w:pPr>
              <w:tabs>
                <w:tab w:val="left" w:pos="3270"/>
              </w:tabs>
              <w:jc w:val="left"/>
            </w:pPr>
            <w:r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>D21-Digital</w:t>
            </w:r>
            <w:r w:rsidR="00AF68F1"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>-I</w:t>
            </w:r>
            <w:r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>ndex</w:t>
            </w:r>
            <w:r w:rsidR="00AF68F1"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 xml:space="preserve"> 2016</w:t>
            </w:r>
            <w:r>
              <w:rPr>
                <w:rFonts w:eastAsia="Calibri" w:cs="Arial"/>
                <w:b/>
                <w:bCs/>
                <w:color w:val="auto"/>
                <w:sz w:val="40"/>
                <w:szCs w:val="40"/>
                <w:lang w:bidi="de-DE"/>
              </w:rPr>
              <w:t>: Unternehmen müssen zur Digitalisierung der Deutschen beitragen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D8BA" w14:textId="77777777" w:rsidR="004B239B" w:rsidRPr="004B239B" w:rsidRDefault="004B239B" w:rsidP="004B239B">
            <w:pPr>
              <w:tabs>
                <w:tab w:val="center" w:pos="4513"/>
                <w:tab w:val="right" w:pos="9026"/>
              </w:tabs>
              <w:jc w:val="left"/>
            </w:pPr>
          </w:p>
        </w:tc>
      </w:tr>
      <w:tr w:rsidR="004B239B" w:rsidRPr="008F7419" w14:paraId="41746E48" w14:textId="77777777" w:rsidTr="00E950B0">
        <w:trPr>
          <w:trHeight w:val="2398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600F" w14:textId="4C4A5050" w:rsidR="002825B2" w:rsidRDefault="002825B2" w:rsidP="002825B2">
            <w:pPr>
              <w:pStyle w:val="AufzhlungspunkteCHG-MERIDIAN"/>
            </w:pPr>
            <w:r>
              <w:t>CHG-MERIDIAN unterstützt D21-Studie erstmals als Partner</w:t>
            </w:r>
          </w:p>
          <w:p w14:paraId="58C42200" w14:textId="15B921B2" w:rsidR="00E92513" w:rsidRDefault="00E92513" w:rsidP="00E92513">
            <w:pPr>
              <w:pStyle w:val="AufzhlungspunkteCHG-MERIDIAN"/>
            </w:pPr>
            <w:r>
              <w:t>Digitale Kompetenz der Deutschen steigt – aber zu langsam</w:t>
            </w:r>
          </w:p>
          <w:p w14:paraId="1E594D17" w14:textId="7663EE0D" w:rsidR="0019557C" w:rsidRPr="0019557C" w:rsidRDefault="00E92513" w:rsidP="0019557C">
            <w:pPr>
              <w:pStyle w:val="AufzhlungspunkteCHG-MERIDIAN"/>
            </w:pPr>
            <w:r>
              <w:t>Drei von vier Deutschen bringen sich den Umgang mit Smartphone und Co. am liebsten selbst in der Freizeit bei</w:t>
            </w:r>
          </w:p>
          <w:p w14:paraId="47BA59C8" w14:textId="5DD6AD14" w:rsidR="0019557C" w:rsidRDefault="00E92513" w:rsidP="0019557C">
            <w:pPr>
              <w:pStyle w:val="AufzhlungspunkteCHG-MERIDIAN"/>
            </w:pPr>
            <w:r>
              <w:t xml:space="preserve">Unternehmen in der Pflicht: Steuerfreie </w:t>
            </w:r>
            <w:proofErr w:type="spellStart"/>
            <w:r>
              <w:t>Incentiveprogramme</w:t>
            </w:r>
            <w:proofErr w:type="spellEnd"/>
            <w:r>
              <w:t xml:space="preserve"> ermöglichen Mitarbeitern den Zugang auch für die private Nutzung</w:t>
            </w:r>
          </w:p>
          <w:p w14:paraId="2921383D" w14:textId="49C13FCB" w:rsidR="005571B7" w:rsidRDefault="005571B7" w:rsidP="0019557C">
            <w:pPr>
              <w:pStyle w:val="AufzhlungspunkteCHG-MERIDIAN"/>
              <w:numPr>
                <w:ilvl w:val="0"/>
                <w:numId w:val="0"/>
              </w:numPr>
              <w:ind w:left="360"/>
            </w:pPr>
          </w:p>
          <w:p w14:paraId="7A774224" w14:textId="77777777" w:rsidR="004B239B" w:rsidRPr="004B239B" w:rsidRDefault="004B239B" w:rsidP="006A61DF">
            <w:pPr>
              <w:spacing w:line="200" w:lineRule="exact"/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51F1" w14:textId="682850A7" w:rsidR="00AA3DD5" w:rsidRPr="0019557C" w:rsidRDefault="00DB0401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b/>
                <w:color w:val="auto"/>
                <w:sz w:val="14"/>
                <w:szCs w:val="14"/>
                <w:lang w:val="en-US"/>
              </w:rPr>
            </w:pPr>
            <w:proofErr w:type="spellStart"/>
            <w:r w:rsidRPr="0019557C">
              <w:rPr>
                <w:b/>
                <w:color w:val="auto"/>
                <w:sz w:val="14"/>
                <w:szCs w:val="14"/>
                <w:lang w:val="en-US"/>
              </w:rPr>
              <w:t>Ihr</w:t>
            </w:r>
            <w:proofErr w:type="spellEnd"/>
            <w:r w:rsidRPr="0019557C"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9557C">
              <w:rPr>
                <w:b/>
                <w:color w:val="auto"/>
                <w:sz w:val="14"/>
                <w:szCs w:val="14"/>
                <w:lang w:val="en-US"/>
              </w:rPr>
              <w:t>Ansprechpartner</w:t>
            </w:r>
            <w:proofErr w:type="spellEnd"/>
            <w:r w:rsidR="008F7419" w:rsidRPr="0019557C">
              <w:rPr>
                <w:b/>
                <w:color w:val="auto"/>
                <w:sz w:val="14"/>
                <w:szCs w:val="14"/>
                <w:lang w:val="en-US"/>
              </w:rPr>
              <w:t>:</w:t>
            </w:r>
          </w:p>
          <w:p w14:paraId="1B2175ED" w14:textId="77777777" w:rsidR="004C79EB" w:rsidRPr="004C79EB" w:rsidRDefault="004C79EB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  <w:p w14:paraId="6DB5C3BC" w14:textId="77777777" w:rsidR="00AA3DD5" w:rsidRPr="004C79EB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4C79EB">
              <w:rPr>
                <w:color w:val="auto"/>
                <w:sz w:val="14"/>
                <w:szCs w:val="14"/>
                <w:lang w:val="en-US"/>
              </w:rPr>
              <w:t xml:space="preserve">Matthias Steybe </w:t>
            </w:r>
          </w:p>
          <w:p w14:paraId="7122FDCD" w14:textId="77777777" w:rsidR="00AA3DD5" w:rsidRPr="004C79EB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4C79EB">
              <w:rPr>
                <w:color w:val="auto"/>
                <w:sz w:val="14"/>
                <w:szCs w:val="14"/>
                <w:lang w:val="en-US"/>
              </w:rPr>
              <w:t xml:space="preserve">Head of Communications </w:t>
            </w:r>
          </w:p>
          <w:p w14:paraId="666FA113" w14:textId="77777777" w:rsidR="00AA3DD5" w:rsidRPr="00D91F94" w:rsidRDefault="00AA3DD5" w:rsidP="00AA3DD5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D91F94">
              <w:rPr>
                <w:color w:val="auto"/>
                <w:sz w:val="14"/>
                <w:szCs w:val="14"/>
                <w:lang w:val="en-US"/>
              </w:rPr>
              <w:t>und Marketing</w:t>
            </w:r>
          </w:p>
          <w:p w14:paraId="63833CA1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b/>
                <w:sz w:val="14"/>
                <w:szCs w:val="14"/>
                <w:lang w:val="en-US"/>
              </w:rPr>
            </w:pPr>
          </w:p>
          <w:p w14:paraId="3CB9C774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  <w:p w14:paraId="3E25743F" w14:textId="77777777" w:rsidR="006A61DF" w:rsidRPr="00D91F94" w:rsidRDefault="006A61DF" w:rsidP="006A61DF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  <w:p w14:paraId="3DE97D30" w14:textId="77777777" w:rsidR="004B239B" w:rsidRPr="00D91F94" w:rsidRDefault="004B239B" w:rsidP="004B239B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</w:p>
        </w:tc>
      </w:tr>
      <w:tr w:rsidR="00547CF9" w:rsidRPr="00983ECD" w14:paraId="4AACB0EE" w14:textId="77777777" w:rsidTr="006A61DF">
        <w:trPr>
          <w:trHeight w:val="266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DC4C" w14:textId="31EAE490" w:rsidR="00071754" w:rsidRDefault="006508AC" w:rsidP="004B239B">
            <w:pPr>
              <w:tabs>
                <w:tab w:val="left" w:pos="3270"/>
              </w:tabs>
              <w:jc w:val="left"/>
              <w:rPr>
                <w:rFonts w:eastAsia="Calibri" w:cs="Times New Roman"/>
                <w:szCs w:val="22"/>
                <w:u w:val="single"/>
              </w:rPr>
            </w:pPr>
            <w:r>
              <w:rPr>
                <w:rFonts w:eastAsia="Calibri" w:cs="Times New Roman"/>
                <w:szCs w:val="22"/>
                <w:u w:val="single"/>
              </w:rPr>
              <w:t>Weingarten</w:t>
            </w:r>
            <w:r w:rsidR="00071754" w:rsidRPr="00071754">
              <w:rPr>
                <w:rFonts w:eastAsia="Calibri" w:cs="Times New Roman"/>
                <w:szCs w:val="22"/>
                <w:u w:val="single"/>
              </w:rPr>
              <w:t xml:space="preserve">, </w:t>
            </w:r>
            <w:r w:rsidR="00EA56DA">
              <w:rPr>
                <w:rFonts w:eastAsia="Calibri" w:cs="Times New Roman"/>
                <w:szCs w:val="22"/>
                <w:u w:val="single"/>
              </w:rPr>
              <w:t>17</w:t>
            </w:r>
            <w:r w:rsidR="00071754" w:rsidRPr="00071754">
              <w:rPr>
                <w:rFonts w:eastAsia="Calibri" w:cs="Times New Roman"/>
                <w:szCs w:val="22"/>
                <w:u w:val="single"/>
              </w:rPr>
              <w:t xml:space="preserve">. </w:t>
            </w:r>
            <w:r w:rsidR="00E92513">
              <w:rPr>
                <w:rFonts w:eastAsia="Calibri" w:cs="Times New Roman"/>
                <w:szCs w:val="22"/>
                <w:u w:val="single"/>
              </w:rPr>
              <w:t>November</w:t>
            </w:r>
            <w:r w:rsidR="0019557C">
              <w:rPr>
                <w:rFonts w:eastAsia="Calibri" w:cs="Times New Roman"/>
                <w:szCs w:val="22"/>
                <w:u w:val="single"/>
              </w:rPr>
              <w:t xml:space="preserve"> </w:t>
            </w:r>
            <w:r w:rsidR="00071754" w:rsidRPr="00071754">
              <w:rPr>
                <w:rFonts w:eastAsia="Calibri" w:cs="Times New Roman"/>
                <w:szCs w:val="22"/>
                <w:u w:val="single"/>
              </w:rPr>
              <w:t>2016</w:t>
            </w:r>
          </w:p>
          <w:p w14:paraId="2AB7A3D0" w14:textId="77777777" w:rsidR="008F7419" w:rsidRPr="00071754" w:rsidRDefault="008F7419" w:rsidP="004B239B">
            <w:pPr>
              <w:tabs>
                <w:tab w:val="left" w:pos="3270"/>
              </w:tabs>
              <w:jc w:val="left"/>
              <w:rPr>
                <w:rFonts w:eastAsia="Calibri" w:cs="Times New Roman"/>
                <w:szCs w:val="22"/>
                <w:u w:val="single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06B7" w14:textId="52523777" w:rsidR="008F7419" w:rsidRPr="0019557C" w:rsidRDefault="00DB0401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b/>
                <w:color w:val="auto"/>
                <w:sz w:val="14"/>
                <w:szCs w:val="14"/>
              </w:rPr>
            </w:pPr>
            <w:r w:rsidRPr="0019557C">
              <w:rPr>
                <w:b/>
                <w:color w:val="auto"/>
                <w:sz w:val="14"/>
                <w:szCs w:val="14"/>
              </w:rPr>
              <w:t>Kontaktdaten</w:t>
            </w:r>
            <w:r w:rsidR="008F7419" w:rsidRPr="0019557C">
              <w:rPr>
                <w:b/>
                <w:color w:val="auto"/>
                <w:sz w:val="14"/>
                <w:szCs w:val="14"/>
              </w:rPr>
              <w:t>:</w:t>
            </w:r>
          </w:p>
          <w:p w14:paraId="1C4080E9" w14:textId="77777777" w:rsidR="008F7419" w:rsidRPr="0019557C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b/>
                <w:color w:val="auto"/>
                <w:sz w:val="14"/>
                <w:szCs w:val="14"/>
              </w:rPr>
            </w:pPr>
          </w:p>
          <w:p w14:paraId="719E29BB" w14:textId="77777777" w:rsidR="008F7419" w:rsidRPr="0019557C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19557C">
              <w:rPr>
                <w:color w:val="auto"/>
                <w:sz w:val="14"/>
                <w:szCs w:val="14"/>
              </w:rPr>
              <w:t>Franz-Beer-Straße 111</w:t>
            </w:r>
          </w:p>
          <w:p w14:paraId="5BB3E8E3" w14:textId="77777777" w:rsidR="008F7419" w:rsidRPr="008F7419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  <w:r w:rsidRPr="008F7419">
              <w:rPr>
                <w:color w:val="auto"/>
                <w:sz w:val="14"/>
                <w:szCs w:val="14"/>
              </w:rPr>
              <w:t>D-88250 Weingarten</w:t>
            </w:r>
          </w:p>
          <w:p w14:paraId="1FFA3358" w14:textId="77777777" w:rsidR="008F7419" w:rsidRPr="008F7419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</w:rPr>
            </w:pPr>
          </w:p>
          <w:p w14:paraId="5C907981" w14:textId="77777777" w:rsidR="008F7419" w:rsidRPr="003438C2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3438C2">
              <w:rPr>
                <w:color w:val="auto"/>
                <w:sz w:val="14"/>
                <w:szCs w:val="14"/>
                <w:lang w:val="en-US"/>
              </w:rPr>
              <w:t>Tel. +49 751 503-248</w:t>
            </w:r>
          </w:p>
          <w:p w14:paraId="2D922F18" w14:textId="77777777" w:rsidR="008F7419" w:rsidRPr="003438C2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3438C2">
              <w:rPr>
                <w:color w:val="auto"/>
                <w:sz w:val="14"/>
                <w:szCs w:val="14"/>
                <w:lang w:val="en-US"/>
              </w:rPr>
              <w:t>Fax. +49 751 503-7248</w:t>
            </w:r>
          </w:p>
          <w:p w14:paraId="5C256E67" w14:textId="6414A6A7" w:rsidR="008F7419" w:rsidRPr="003438C2" w:rsidRDefault="00DB0401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3438C2">
              <w:rPr>
                <w:color w:val="auto"/>
                <w:sz w:val="14"/>
                <w:szCs w:val="14"/>
                <w:lang w:val="en-US"/>
              </w:rPr>
              <w:t>Mobil</w:t>
            </w:r>
            <w:r w:rsidR="008F7419" w:rsidRPr="003438C2">
              <w:rPr>
                <w:color w:val="auto"/>
                <w:sz w:val="14"/>
                <w:szCs w:val="14"/>
                <w:lang w:val="en-US"/>
              </w:rPr>
              <w:t xml:space="preserve">. +49 172 667-1341 </w:t>
            </w:r>
          </w:p>
          <w:p w14:paraId="23095896" w14:textId="77777777" w:rsidR="008F7419" w:rsidRPr="003438C2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 w:rsidRPr="003438C2">
              <w:rPr>
                <w:color w:val="auto"/>
                <w:sz w:val="14"/>
                <w:szCs w:val="14"/>
                <w:lang w:val="en-US"/>
              </w:rPr>
              <w:t>matthias.steybe@chg</w:t>
            </w:r>
            <w:proofErr w:type="spellEnd"/>
            <w:r w:rsidRPr="003438C2">
              <w:rPr>
                <w:color w:val="auto"/>
                <w:sz w:val="14"/>
                <w:szCs w:val="14"/>
                <w:lang w:val="en-US"/>
              </w:rPr>
              <w:t>-</w:t>
            </w:r>
          </w:p>
          <w:p w14:paraId="38982CF0" w14:textId="77777777" w:rsidR="008F7419" w:rsidRPr="003438C2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  <w:r w:rsidRPr="003438C2">
              <w:rPr>
                <w:color w:val="auto"/>
                <w:sz w:val="14"/>
                <w:szCs w:val="14"/>
                <w:lang w:val="en-US"/>
              </w:rPr>
              <w:t>meridian.de</w:t>
            </w:r>
          </w:p>
          <w:p w14:paraId="4100C0BD" w14:textId="77777777" w:rsidR="008F7419" w:rsidRPr="003438C2" w:rsidRDefault="008F7419" w:rsidP="008F7419">
            <w:pPr>
              <w:tabs>
                <w:tab w:val="left" w:pos="709"/>
                <w:tab w:val="right" w:pos="2835"/>
              </w:tabs>
              <w:spacing w:line="200" w:lineRule="atLeast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  <w:p w14:paraId="7FB12A32" w14:textId="54EEEC6C" w:rsidR="00547CF9" w:rsidRPr="003438C2" w:rsidRDefault="008F7419" w:rsidP="008F7419">
            <w:pPr>
              <w:tabs>
                <w:tab w:val="center" w:pos="4513"/>
                <w:tab w:val="right" w:pos="9026"/>
              </w:tabs>
              <w:jc w:val="left"/>
              <w:rPr>
                <w:sz w:val="14"/>
                <w:szCs w:val="14"/>
                <w:lang w:val="en-US"/>
              </w:rPr>
            </w:pPr>
            <w:r w:rsidRPr="003438C2">
              <w:rPr>
                <w:color w:val="auto"/>
                <w:sz w:val="14"/>
                <w:szCs w:val="14"/>
                <w:lang w:val="en-US"/>
              </w:rPr>
              <w:t>www.chg-meridian.com</w:t>
            </w:r>
          </w:p>
        </w:tc>
      </w:tr>
      <w:tr w:rsidR="00547CF9" w:rsidRPr="00547CF9" w14:paraId="515BAC74" w14:textId="77777777" w:rsidTr="006A61DF">
        <w:trPr>
          <w:trHeight w:val="237"/>
        </w:trPr>
        <w:tc>
          <w:tcPr>
            <w:tcW w:w="8099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14:paraId="3FC9CF14" w14:textId="64F8FC3E" w:rsidR="000C5939" w:rsidRDefault="00446FAA" w:rsidP="0019557C">
            <w:r w:rsidRPr="00446FAA">
              <w:t>Die digitale Kompetenz deutscher Arbeitnehmer steigt zu langsam. Ein Grund dafür: ungleicher Zugang zu den aktuellen technischen Endgeräten. Die Bereitschaft zur Beschäftigung damit auch im privaten Bereich ist aber vorhanden</w:t>
            </w:r>
            <w:r>
              <w:t xml:space="preserve">. Das zeigen die </w:t>
            </w:r>
            <w:r w:rsidR="00E92513">
              <w:t>jetzt veröffentlicht</w:t>
            </w:r>
            <w:r w:rsidR="00E92513" w:rsidRPr="00E92513">
              <w:t xml:space="preserve">en Ergebnisse </w:t>
            </w:r>
            <w:r>
              <w:t>des D21-Digital</w:t>
            </w:r>
            <w:r w:rsidR="00F44E80">
              <w:t>-I</w:t>
            </w:r>
            <w:r>
              <w:t xml:space="preserve">ndex 2016. Insbesondere die </w:t>
            </w:r>
            <w:r w:rsidRPr="00446FAA">
              <w:t>Arbeitgeber sind deshalb gefordert, Verbreitung und Nutzung moderner Informationstechno</w:t>
            </w:r>
            <w:r>
              <w:t>logie unter ihren Mitarbeitern und deren Familien</w:t>
            </w:r>
            <w:r w:rsidRPr="00446FAA">
              <w:t xml:space="preserve"> aktiv zu fördern</w:t>
            </w:r>
            <w:r>
              <w:t xml:space="preserve"> – und so Kompetenzen aufzubauen, die</w:t>
            </w:r>
            <w:r w:rsidRPr="00446FAA">
              <w:t xml:space="preserve"> </w:t>
            </w:r>
            <w:r>
              <w:t xml:space="preserve">für neue, oft datenbasierte Geschäftsmodelle dringend benötigt werden. </w:t>
            </w:r>
            <w:r w:rsidR="00E92513">
              <w:t xml:space="preserve">Beides brauchen die Unternehmen aber dringend. </w:t>
            </w:r>
          </w:p>
          <w:p w14:paraId="50A51E94" w14:textId="77777777" w:rsidR="000C5939" w:rsidRDefault="000C5939" w:rsidP="0019557C"/>
          <w:p w14:paraId="06095940" w14:textId="59F7FC1B" w:rsidR="00446FAA" w:rsidRDefault="00446FAA" w:rsidP="0019557C">
            <w:r>
              <w:t>„Es ist entscheidend, dass Arbeitnehmer in Zukunft flächendeckend und über alle Berufsgruppen hinweg Zugang zu aktueller Technologie bekommen. Das war die Ausgangsidee des Mitarbeiter-PC-Programms MPP. Und das ist seit Jahren die Motivation von D21, dieses Programm zu unterstützen. Die neue Studie zeigt: Heute ist es wichtiger denn je</w:t>
            </w:r>
            <w:r w:rsidR="000C5939">
              <w:t>“, kommentiert Frank Kottmann, Mitg</w:t>
            </w:r>
            <w:r w:rsidR="00AF68F1">
              <w:t>lied des Vorstands, CHG-MERIDIAN</w:t>
            </w:r>
            <w:r w:rsidR="000C5939">
              <w:t xml:space="preserve"> AG. Das Unternehmen i</w:t>
            </w:r>
            <w:r w:rsidR="00AF68F1">
              <w:t>st offizieller Partner des D21-</w:t>
            </w:r>
            <w:r w:rsidR="000C5939" w:rsidRPr="00E92513">
              <w:t>Digital-Index 2016</w:t>
            </w:r>
            <w:r w:rsidR="00EA56DA">
              <w:t xml:space="preserve"> und </w:t>
            </w:r>
            <w:r w:rsidR="000C5939">
              <w:t xml:space="preserve">Mitglied der Initiative D21. Die bundespolitisch unterstützte Initiative D21 </w:t>
            </w:r>
            <w:r w:rsidR="000C5939" w:rsidRPr="00E92513">
              <w:t xml:space="preserve">misst </w:t>
            </w:r>
            <w:r w:rsidR="000C5939">
              <w:t xml:space="preserve"> im Index </w:t>
            </w:r>
            <w:r w:rsidR="000C5939" w:rsidRPr="00E92513">
              <w:t>seit 2013, wie „digital“ die Deutschen sind – und wo es noch Lücken gibt.</w:t>
            </w:r>
          </w:p>
          <w:p w14:paraId="198F78FE" w14:textId="3021724E" w:rsidR="002825B2" w:rsidRDefault="002825B2" w:rsidP="0019557C"/>
          <w:p w14:paraId="4C6ED28F" w14:textId="740B1F8D" w:rsidR="00446FAA" w:rsidRDefault="002825B2" w:rsidP="0019557C">
            <w:r>
              <w:t xml:space="preserve">Die wesentlichen Ergebnisse in Kürze: </w:t>
            </w:r>
          </w:p>
          <w:p w14:paraId="7F76FA8F" w14:textId="77777777" w:rsidR="00B0444F" w:rsidRDefault="00B0444F" w:rsidP="005571B7"/>
          <w:p w14:paraId="3FF36366" w14:textId="28A28168" w:rsidR="00983ECD" w:rsidRDefault="000C5939" w:rsidP="000C5939">
            <w:pPr>
              <w:rPr>
                <w:b/>
              </w:rPr>
            </w:pPr>
            <w:r w:rsidRPr="000C5939">
              <w:rPr>
                <w:b/>
              </w:rPr>
              <w:t>Arbeitnehmer sind die „</w:t>
            </w:r>
            <w:proofErr w:type="spellStart"/>
            <w:r w:rsidRPr="000C5939">
              <w:rPr>
                <w:b/>
              </w:rPr>
              <w:t>digitaleren</w:t>
            </w:r>
            <w:proofErr w:type="spellEnd"/>
            <w:r w:rsidRPr="000C5939">
              <w:rPr>
                <w:b/>
              </w:rPr>
              <w:t xml:space="preserve"> Deutschen“ – aber nicht alle</w:t>
            </w:r>
          </w:p>
          <w:p w14:paraId="0334118A" w14:textId="77777777" w:rsidR="002825B2" w:rsidRDefault="000C5939" w:rsidP="003438C2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 xml:space="preserve">Berufstätige sind besser über Begriffe informiert, die Digitalthemen betreffen. Beispiele: App (Differenz: 32 Prozent), Cookies (Differenz: 27 Prozent) und Cloud (Differenz: 23 Prozent). </w:t>
            </w:r>
          </w:p>
          <w:p w14:paraId="6184DA3D" w14:textId="33529BE9" w:rsidR="000C5939" w:rsidRPr="00983ECD" w:rsidRDefault="000C5939" w:rsidP="003438C2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>91 Prozent der Berufstätigen nutzen das Internet, aber nur 65 Prozent der Bürger, die keinen Beruf ausüben.</w:t>
            </w:r>
          </w:p>
          <w:p w14:paraId="392FFA56" w14:textId="77777777" w:rsidR="000C5939" w:rsidRPr="00983ECD" w:rsidRDefault="000C5939" w:rsidP="003438C2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 xml:space="preserve">Nur 70 Prozent der Berufstätigen nutzt privat oder beruflich das mobile Internet. </w:t>
            </w:r>
          </w:p>
          <w:p w14:paraId="058A8AF2" w14:textId="77777777" w:rsidR="002825B2" w:rsidRDefault="000C5939" w:rsidP="003438C2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>78 Prozent der Deutschen eigenen sich Digitalkompeten</w:t>
            </w:r>
            <w:r w:rsidR="002825B2">
              <w:rPr>
                <w:i/>
              </w:rPr>
              <w:t>z selbst durch Ausprobieren an.</w:t>
            </w:r>
          </w:p>
          <w:p w14:paraId="3E3481A9" w14:textId="1C83C0DC" w:rsidR="003438C2" w:rsidRPr="00983ECD" w:rsidRDefault="000C5939" w:rsidP="003438C2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  <w:w w:val="97"/>
              </w:rPr>
              <w:t xml:space="preserve">84 Prozent der Befragten glauben, dass beruflicher Erfolg lebenslanges Lernen </w:t>
            </w:r>
            <w:r w:rsidR="003438C2" w:rsidRPr="00983ECD">
              <w:rPr>
                <w:i/>
                <w:w w:val="97"/>
              </w:rPr>
              <w:t>voraussetzt</w:t>
            </w:r>
          </w:p>
          <w:p w14:paraId="1CDBC8A9" w14:textId="6438B259" w:rsidR="000C5939" w:rsidRDefault="000C5939" w:rsidP="003438C2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 xml:space="preserve">Gerade einmal 38 Prozent der Arbeitnehmer erhalten </w:t>
            </w:r>
            <w:r w:rsidR="002825B2">
              <w:rPr>
                <w:i/>
              </w:rPr>
              <w:t>Digital-</w:t>
            </w:r>
            <w:r w:rsidRPr="00983ECD">
              <w:rPr>
                <w:i/>
              </w:rPr>
              <w:t>Qualifizierungen durch den Arbeitgeber.</w:t>
            </w:r>
          </w:p>
          <w:p w14:paraId="7235249D" w14:textId="77777777" w:rsidR="00983ECD" w:rsidRPr="00983ECD" w:rsidRDefault="00983ECD" w:rsidP="00983ECD">
            <w:pPr>
              <w:pStyle w:val="Listenabsatz"/>
              <w:spacing w:after="200" w:line="276" w:lineRule="auto"/>
              <w:ind w:left="360"/>
              <w:jc w:val="left"/>
              <w:rPr>
                <w:i/>
              </w:rPr>
            </w:pPr>
          </w:p>
          <w:p w14:paraId="000EBA98" w14:textId="7106EDFE" w:rsidR="00983ECD" w:rsidRDefault="000C5939" w:rsidP="000C5939">
            <w:pPr>
              <w:rPr>
                <w:b/>
              </w:rPr>
            </w:pPr>
            <w:r>
              <w:rPr>
                <w:b/>
              </w:rPr>
              <w:lastRenderedPageBreak/>
              <w:t>Männer liegen bei der Digitalisierung vorne – weil Frauen noch immer beruflich benachteiligt werden</w:t>
            </w:r>
            <w:bookmarkStart w:id="0" w:name="_GoBack"/>
            <w:bookmarkEnd w:id="0"/>
          </w:p>
          <w:p w14:paraId="3388D80A" w14:textId="77777777" w:rsidR="000C5939" w:rsidRPr="00983ECD" w:rsidRDefault="000C5939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 xml:space="preserve">Fast drei Viertel der Frauen (73 Prozent) und mehr als zwei Drittel der Männer (68 Prozent) nehmen das Angebot in Anspruch, beruflich zur Verfügung gestellte Geräte auch privat zu nutzen </w:t>
            </w:r>
          </w:p>
          <w:p w14:paraId="6819B2DC" w14:textId="15698940" w:rsidR="000C5939" w:rsidRPr="00983ECD" w:rsidRDefault="000C5939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 xml:space="preserve">Frauen haben einen </w:t>
            </w:r>
            <w:r w:rsidR="002825B2">
              <w:rPr>
                <w:i/>
              </w:rPr>
              <w:t>Digital-</w:t>
            </w:r>
            <w:r w:rsidRPr="00983ECD">
              <w:rPr>
                <w:i/>
              </w:rPr>
              <w:t xml:space="preserve">Indexwert von 46, Männer haben einen </w:t>
            </w:r>
            <w:r w:rsidR="002825B2">
              <w:rPr>
                <w:i/>
              </w:rPr>
              <w:t>Digital-</w:t>
            </w:r>
            <w:r w:rsidRPr="00983ECD">
              <w:rPr>
                <w:i/>
              </w:rPr>
              <w:t xml:space="preserve">Indexwert von 56. </w:t>
            </w:r>
          </w:p>
          <w:p w14:paraId="688DA9C3" w14:textId="0170E1CB" w:rsidR="000C5939" w:rsidRPr="00983ECD" w:rsidRDefault="000C5939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983ECD">
              <w:rPr>
                <w:i/>
              </w:rPr>
              <w:t xml:space="preserve">In der Arbeit haben Männer weitaus häufiger Zugang zu digitalen Endgeräten und Programmen als Frauen: 41 Prozent der befragten weiblichen Umfrageteilnehmer mit Schreibtisch-/Bürojob gab an, dass sie keine der aufgeführten Tools zur Verfügung gestellt bekommt, von den männlichen Studienteilnehmern waren es nur 22 Prozent. </w:t>
            </w:r>
          </w:p>
          <w:p w14:paraId="0ACD5A8B" w14:textId="77777777" w:rsidR="000C5939" w:rsidRDefault="000C5939" w:rsidP="005571B7"/>
          <w:p w14:paraId="4D0F5F78" w14:textId="60278829" w:rsidR="00983ECD" w:rsidRDefault="00DB43C2" w:rsidP="009F5933">
            <w:pPr>
              <w:rPr>
                <w:b/>
              </w:rPr>
            </w:pPr>
            <w:r>
              <w:rPr>
                <w:b/>
              </w:rPr>
              <w:t>Mehr Einkommen, mehr Digitalisierung</w:t>
            </w:r>
          </w:p>
          <w:p w14:paraId="4DBA4129" w14:textId="564C2B54" w:rsidR="00DB43C2" w:rsidRP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 xml:space="preserve">Je höher das Haushaltsnettoeinkommen ist, desto wahrscheinlicher ist es, dass Arbeitnehmer systematische Schulungen und Weiterbildungsangebote nutzen. Generell ist es so, dass nur ein Prozent der Höherverdienenden sich gar nicht qualifiziert. </w:t>
            </w:r>
          </w:p>
          <w:p w14:paraId="7D6293DD" w14:textId="7AAC3293" w:rsid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>Bis 1.000 Euro Haushaltsnettoeinkommen nutzen 59 Prozent, bis 2.000 Euro 67 Prozent, bis 3.000 Euro 86 Prozent und jenseits von 3.000 Euro 94 Prozent Inter</w:t>
            </w:r>
            <w:r w:rsidR="002825B2">
              <w:rPr>
                <w:i/>
              </w:rPr>
              <w:t>net.</w:t>
            </w:r>
          </w:p>
          <w:p w14:paraId="51A88418" w14:textId="7E248D46" w:rsidR="00DB43C2" w:rsidRP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 xml:space="preserve">Je höher das Haushaltsnettoeinkommen, desto mehr werden Digital-Commerce-Angebote genutzt. So kaufen 69 Prozent der Befragten, die in einem Haushalt mit mindestens 3.000 Euro Nettoeinkommen leben, regelmäßig in Web-Shops ein.  </w:t>
            </w:r>
          </w:p>
          <w:p w14:paraId="58191298" w14:textId="77777777" w:rsidR="009F5933" w:rsidRDefault="009F5933" w:rsidP="009F5933"/>
          <w:p w14:paraId="429B0A92" w14:textId="6E57F216" w:rsidR="00983ECD" w:rsidRDefault="00DB43C2" w:rsidP="00DB43C2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Offliner</w:t>
            </w:r>
            <w:proofErr w:type="spellEnd"/>
            <w:r>
              <w:rPr>
                <w:b/>
              </w:rPr>
              <w:t>: es gibt sie noch!</w:t>
            </w:r>
          </w:p>
          <w:p w14:paraId="3F7FE5E8" w14:textId="24092D87" w:rsidR="00DB43C2" w:rsidRP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>Offline sind … 31 Prozent der 60-69-jährigen und 21 Prozent der Gesamtbevölkerung</w:t>
            </w:r>
          </w:p>
          <w:p w14:paraId="28A3D51E" w14:textId="0F246139" w:rsidR="00DB43C2" w:rsidRP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>Ohne Smartphone sind … 34 Prozent der Gesamtbevölkerung unterwegs</w:t>
            </w:r>
          </w:p>
          <w:p w14:paraId="30339F97" w14:textId="13A0FEC1" w:rsidR="00DB43C2" w:rsidRP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 xml:space="preserve">26 Prozent </w:t>
            </w:r>
            <w:r>
              <w:rPr>
                <w:i/>
              </w:rPr>
              <w:t xml:space="preserve">geben </w:t>
            </w:r>
            <w:r w:rsidRPr="00DB43C2">
              <w:rPr>
                <w:i/>
              </w:rPr>
              <w:t xml:space="preserve">an, dass der Wegfall des Internets sehr negative Auswirkungen auf ihr tägliches Leben hätte. </w:t>
            </w:r>
          </w:p>
          <w:p w14:paraId="4D968F6D" w14:textId="6C53F456" w:rsidR="00DB43C2" w:rsidRPr="00DB43C2" w:rsidRDefault="00DB43C2" w:rsidP="00983ECD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jc w:val="left"/>
              <w:rPr>
                <w:i/>
              </w:rPr>
            </w:pPr>
            <w:r w:rsidRPr="00DB43C2">
              <w:rPr>
                <w:i/>
              </w:rPr>
              <w:t>Immer weniger Menschen (</w:t>
            </w:r>
            <w:proofErr w:type="spellStart"/>
            <w:r w:rsidRPr="00DB43C2">
              <w:rPr>
                <w:i/>
              </w:rPr>
              <w:t>Offliner</w:t>
            </w:r>
            <w:proofErr w:type="spellEnd"/>
            <w:r w:rsidRPr="00DB43C2">
              <w:rPr>
                <w:i/>
              </w:rPr>
              <w:t xml:space="preserve">)  beziehen sich darauf, dass die Internetnutzung … zu kompliziert (-8 %), zu unsicher (-7%) oder zu teuer (-10%) wäre. </w:t>
            </w:r>
          </w:p>
          <w:p w14:paraId="54EB3360" w14:textId="77777777" w:rsidR="009F5933" w:rsidRDefault="009F5933" w:rsidP="009F5933"/>
          <w:p w14:paraId="146B3340" w14:textId="24F3D5F1" w:rsidR="005571B7" w:rsidRPr="00F649D6" w:rsidRDefault="005571B7" w:rsidP="005571B7">
            <w:r w:rsidRPr="00F649D6">
              <w:t xml:space="preserve">Weitere Informationen </w:t>
            </w:r>
            <w:r>
              <w:t>und Fotos finden S</w:t>
            </w:r>
            <w:r w:rsidRPr="00F649D6">
              <w:t xml:space="preserve">ie unter: </w:t>
            </w:r>
            <w:hyperlink r:id="rId8" w:history="1">
              <w:r w:rsidRPr="00815256">
                <w:rPr>
                  <w:rStyle w:val="Hyperlink"/>
                  <w:b/>
                  <w:color w:val="auto"/>
                </w:rPr>
                <w:t>www.chg-meridian.com</w:t>
              </w:r>
            </w:hyperlink>
            <w:r w:rsidRPr="00815256">
              <w:t xml:space="preserve"> </w:t>
            </w:r>
          </w:p>
          <w:p w14:paraId="6F99E08F" w14:textId="77777777" w:rsidR="005571B7" w:rsidRDefault="005571B7" w:rsidP="005571B7">
            <w:pPr>
              <w:rPr>
                <w:rFonts w:asciiTheme="majorHAnsi" w:hAnsiTheme="majorHAnsi" w:cstheme="majorHAnsi"/>
              </w:rPr>
            </w:pPr>
          </w:p>
          <w:p w14:paraId="59C77CF7" w14:textId="568D0E39" w:rsidR="00983ECD" w:rsidRDefault="00983ECD" w:rsidP="00B418DD">
            <w:pPr>
              <w:rPr>
                <w:rFonts w:asciiTheme="majorHAnsi" w:hAnsiTheme="majorHAnsi" w:cstheme="majorHAnsi"/>
              </w:rPr>
            </w:pPr>
          </w:p>
          <w:p w14:paraId="7C677D64" w14:textId="1D82E6CD" w:rsidR="006F4924" w:rsidRDefault="006F4924" w:rsidP="00B418DD">
            <w:pPr>
              <w:rPr>
                <w:rFonts w:asciiTheme="majorHAnsi" w:hAnsiTheme="majorHAnsi" w:cstheme="majorHAnsi"/>
              </w:rPr>
            </w:pPr>
          </w:p>
          <w:p w14:paraId="41DD1991" w14:textId="2358F72F" w:rsidR="006F4924" w:rsidRDefault="006F4924" w:rsidP="00B418DD">
            <w:pPr>
              <w:rPr>
                <w:rFonts w:asciiTheme="majorHAnsi" w:hAnsiTheme="majorHAnsi" w:cstheme="majorHAnsi"/>
              </w:rPr>
            </w:pPr>
          </w:p>
          <w:p w14:paraId="270F78BA" w14:textId="2E359D4C" w:rsidR="00594930" w:rsidRDefault="00594930" w:rsidP="00B418DD">
            <w:pPr>
              <w:rPr>
                <w:rFonts w:asciiTheme="majorHAnsi" w:hAnsiTheme="majorHAnsi" w:cstheme="majorHAnsi"/>
              </w:rPr>
            </w:pPr>
          </w:p>
          <w:p w14:paraId="59E0299A" w14:textId="7BC42C97" w:rsidR="00594930" w:rsidRDefault="00594930" w:rsidP="00B418DD">
            <w:pPr>
              <w:rPr>
                <w:rFonts w:asciiTheme="majorHAnsi" w:hAnsiTheme="majorHAnsi" w:cstheme="majorHAnsi"/>
              </w:rPr>
            </w:pPr>
          </w:p>
          <w:p w14:paraId="2B9CAE95" w14:textId="539E7AB3" w:rsidR="00594930" w:rsidRDefault="00594930" w:rsidP="00B418DD">
            <w:pPr>
              <w:rPr>
                <w:rFonts w:asciiTheme="majorHAnsi" w:hAnsiTheme="majorHAnsi" w:cstheme="majorHAnsi"/>
              </w:rPr>
            </w:pPr>
          </w:p>
          <w:p w14:paraId="5D743118" w14:textId="77777777" w:rsidR="006F4924" w:rsidRDefault="006F4924" w:rsidP="00B418DD">
            <w:pPr>
              <w:rPr>
                <w:rFonts w:asciiTheme="majorHAnsi" w:hAnsiTheme="majorHAnsi" w:cstheme="majorHAnsi"/>
              </w:rPr>
            </w:pPr>
          </w:p>
          <w:p w14:paraId="669582F2" w14:textId="6EE17161" w:rsidR="00B418DD" w:rsidRPr="00983ECD" w:rsidRDefault="00B0444F" w:rsidP="00B418DD">
            <w:r>
              <w:rPr>
                <w:b/>
                <w:sz w:val="14"/>
                <w:szCs w:val="14"/>
              </w:rPr>
              <w:t>C</w:t>
            </w:r>
            <w:r w:rsidR="00B418DD" w:rsidRPr="00071754">
              <w:rPr>
                <w:b/>
                <w:sz w:val="14"/>
                <w:szCs w:val="14"/>
              </w:rPr>
              <w:t>HG-MERIDIAN: Das Unternehmen</w:t>
            </w:r>
          </w:p>
          <w:p w14:paraId="10CD7E7F" w14:textId="77777777" w:rsidR="00B418DD" w:rsidRPr="00071754" w:rsidRDefault="00B418DD" w:rsidP="00B418DD">
            <w:pPr>
              <w:rPr>
                <w:sz w:val="14"/>
                <w:szCs w:val="14"/>
              </w:rPr>
            </w:pPr>
          </w:p>
          <w:p w14:paraId="367A75ED" w14:textId="77777777" w:rsidR="00B418DD" w:rsidRPr="00071754" w:rsidRDefault="00B418DD" w:rsidP="00B418DD">
            <w:pPr>
              <w:rPr>
                <w:sz w:val="14"/>
                <w:szCs w:val="14"/>
              </w:rPr>
            </w:pPr>
            <w:r w:rsidRPr="00071754">
              <w:rPr>
                <w:sz w:val="14"/>
                <w:szCs w:val="14"/>
              </w:rPr>
              <w:t xml:space="preserve">CHG-MERIDIAN zählt zu den weltweit führenden hersteller- und bankenunabhängigen Anbietern von Technologie-Management in den Bereichen IT, Industrie und </w:t>
            </w:r>
            <w:proofErr w:type="spellStart"/>
            <w:r w:rsidRPr="00071754">
              <w:rPr>
                <w:sz w:val="14"/>
                <w:szCs w:val="14"/>
              </w:rPr>
              <w:t>Healthcare</w:t>
            </w:r>
            <w:proofErr w:type="spellEnd"/>
            <w:r w:rsidRPr="00071754">
              <w:rPr>
                <w:sz w:val="14"/>
                <w:szCs w:val="14"/>
              </w:rPr>
              <w:t xml:space="preserve">. Mit rund 850 Mitarbeitern bietet CHG-MERIDIAN eine ganzheitliche Betreuung der Technologie-Infrastruktur seiner Kunden – vom Consulting über Financial- und Operational-Services bis zu den </w:t>
            </w:r>
            <w:proofErr w:type="spellStart"/>
            <w:r w:rsidRPr="00071754">
              <w:rPr>
                <w:sz w:val="14"/>
                <w:szCs w:val="14"/>
              </w:rPr>
              <w:t>Remarketing</w:t>
            </w:r>
            <w:proofErr w:type="spellEnd"/>
            <w:r w:rsidRPr="00071754">
              <w:rPr>
                <w:sz w:val="14"/>
                <w:szCs w:val="14"/>
              </w:rPr>
              <w:t>-Services für die genutzten Geräte in zwei eigenen Technologie- und Servicezentren in Deutschland und Norwegen. CHG-MERIDIAN bietet effizientes Technologie-Management für Großunternehmen, den Mittelstand und öffentliche Auftraggeber und betreut weltweit über 11.000 Kunden mit Technologie-Investitionen von mehr als 4,4 Milliarden Euro. Mit mehr als 10.000 Nutzer</w:t>
            </w:r>
            <w:r>
              <w:rPr>
                <w:sz w:val="14"/>
                <w:szCs w:val="14"/>
              </w:rPr>
              <w:t>n</w:t>
            </w:r>
            <w:r w:rsidRPr="00071754">
              <w:rPr>
                <w:sz w:val="14"/>
                <w:szCs w:val="14"/>
              </w:rPr>
              <w:t xml:space="preserve"> sorgt das online-basierte Technologie- und Service-Management-System TESMA</w:t>
            </w:r>
            <w:r w:rsidRPr="002D4CE9">
              <w:rPr>
                <w:sz w:val="14"/>
                <w:szCs w:val="14"/>
                <w:vertAlign w:val="superscript"/>
              </w:rPr>
              <w:t>®</w:t>
            </w:r>
            <w:r w:rsidRPr="00071754">
              <w:rPr>
                <w:sz w:val="14"/>
                <w:szCs w:val="14"/>
              </w:rPr>
              <w:t xml:space="preserve"> für maximale Transparenz im Technologie-Controlling. Das Unternehmen verfügt über eine weltweite Präsenz in 23 Ländern an 36 Standorten; der Hauptsitz ist in Weingarten, Süddeutschland.</w:t>
            </w:r>
          </w:p>
          <w:p w14:paraId="130AC9E3" w14:textId="77777777" w:rsidR="00B418DD" w:rsidRPr="00071754" w:rsidRDefault="00B418DD" w:rsidP="00B418DD">
            <w:pPr>
              <w:rPr>
                <w:sz w:val="14"/>
                <w:szCs w:val="14"/>
              </w:rPr>
            </w:pPr>
          </w:p>
          <w:p w14:paraId="7D48C4A2" w14:textId="5CC553F3" w:rsidR="00071754" w:rsidRPr="00B418DD" w:rsidRDefault="00B418DD" w:rsidP="00E72815">
            <w:pPr>
              <w:rPr>
                <w:rFonts w:asciiTheme="majorHAnsi" w:hAnsiTheme="majorHAnsi" w:cstheme="majorHAnsi"/>
              </w:rPr>
            </w:pPr>
            <w:r w:rsidRPr="00200130">
              <w:rPr>
                <w:sz w:val="14"/>
                <w:szCs w:val="14"/>
                <w:lang w:val="en-US"/>
              </w:rPr>
              <w:t>Efficient Technology Management</w:t>
            </w:r>
            <w:r w:rsidRPr="002D4CE9">
              <w:rPr>
                <w:sz w:val="14"/>
                <w:szCs w:val="14"/>
                <w:vertAlign w:val="superscript"/>
                <w:lang w:val="en-US"/>
              </w:rPr>
              <w:t>®</w:t>
            </w: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284" w:type="dxa"/>
            </w:tcMar>
          </w:tcPr>
          <w:p w14:paraId="6BAC7043" w14:textId="77777777" w:rsidR="00547CF9" w:rsidRPr="00547CF9" w:rsidRDefault="00547CF9" w:rsidP="00547CF9">
            <w:pPr>
              <w:rPr>
                <w:szCs w:val="14"/>
              </w:rPr>
            </w:pPr>
          </w:p>
        </w:tc>
      </w:tr>
    </w:tbl>
    <w:p w14:paraId="34C8361F" w14:textId="77777777" w:rsidR="005571B7" w:rsidRDefault="005571B7" w:rsidP="00B418DD"/>
    <w:sectPr w:rsidR="005571B7" w:rsidSect="00E62FE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397" w:bottom="1531" w:left="1304" w:header="680" w:footer="964" w:gutter="0"/>
      <w:paperSrc w:first="279" w:other="279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946A" w14:textId="77777777" w:rsidR="00EA4E17" w:rsidRDefault="00EA4E17" w:rsidP="003E4F4F">
      <w:r>
        <w:separator/>
      </w:r>
    </w:p>
  </w:endnote>
  <w:endnote w:type="continuationSeparator" w:id="0">
    <w:p w14:paraId="7A9C49BD" w14:textId="77777777" w:rsidR="00EA4E17" w:rsidRDefault="00EA4E17" w:rsidP="003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4986" w14:textId="3DADFD88" w:rsidR="00EA4E17" w:rsidRDefault="00EA4E1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B68DAC" wp14:editId="795FCA31">
          <wp:simplePos x="0" y="0"/>
          <wp:positionH relativeFrom="column">
            <wp:posOffset>-818515</wp:posOffset>
          </wp:positionH>
          <wp:positionV relativeFrom="paragraph">
            <wp:posOffset>-84455</wp:posOffset>
          </wp:positionV>
          <wp:extent cx="6480810" cy="81470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egen_A4_Registe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7779" w14:textId="4ECDA611" w:rsidR="00EA4E17" w:rsidRDefault="00EA4E1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268A721" wp14:editId="7B6E97B6">
          <wp:simplePos x="0" y="0"/>
          <wp:positionH relativeFrom="column">
            <wp:posOffset>-809625</wp:posOffset>
          </wp:positionH>
          <wp:positionV relativeFrom="paragraph">
            <wp:posOffset>-86360</wp:posOffset>
          </wp:positionV>
          <wp:extent cx="6480810" cy="8147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egen_A4_Registe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75F9" w14:textId="77777777" w:rsidR="00EA4E17" w:rsidRDefault="00EA4E17" w:rsidP="003E4F4F">
      <w:r>
        <w:separator/>
      </w:r>
    </w:p>
  </w:footnote>
  <w:footnote w:type="continuationSeparator" w:id="0">
    <w:p w14:paraId="3D0DBCE4" w14:textId="77777777" w:rsidR="00EA4E17" w:rsidRDefault="00EA4E17" w:rsidP="003E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102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EA4E17" w:rsidRPr="004B239B" w14:paraId="57F2476B" w14:textId="77777777" w:rsidTr="00876DAC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14060906" w14:textId="0486547C" w:rsidR="00EA4E17" w:rsidRPr="001C1CB0" w:rsidRDefault="00EA4E17" w:rsidP="001C1CB0">
          <w:pPr>
            <w:rPr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t>PRESSEMITTEILUNG CHG-MERIDIAN</w:t>
          </w:r>
          <w:r w:rsidRPr="001C1CB0">
            <w:rPr>
              <w:sz w:val="14"/>
              <w:szCs w:val="14"/>
            </w:rPr>
            <w:t xml:space="preserve">· Seite </w:t>
          </w:r>
          <w:r w:rsidRPr="001C1CB0">
            <w:rPr>
              <w:sz w:val="14"/>
            </w:rPr>
            <w:fldChar w:fldCharType="begin"/>
          </w:r>
          <w:r w:rsidRPr="001C1CB0">
            <w:rPr>
              <w:sz w:val="14"/>
              <w:szCs w:val="14"/>
            </w:rPr>
            <w:instrText xml:space="preserve"> PAGE </w:instrText>
          </w:r>
          <w:r w:rsidRPr="001C1CB0">
            <w:rPr>
              <w:sz w:val="14"/>
            </w:rPr>
            <w:fldChar w:fldCharType="separate"/>
          </w:r>
          <w:r w:rsidR="00C97997">
            <w:rPr>
              <w:noProof/>
              <w:sz w:val="14"/>
              <w:szCs w:val="14"/>
            </w:rPr>
            <w:t>2</w:t>
          </w:r>
          <w:r w:rsidRPr="001C1CB0">
            <w:rPr>
              <w:sz w:val="14"/>
            </w:rPr>
            <w:fldChar w:fldCharType="end"/>
          </w:r>
          <w:r w:rsidRPr="001C1CB0">
            <w:rPr>
              <w:sz w:val="14"/>
              <w:szCs w:val="14"/>
            </w:rPr>
            <w:t xml:space="preserve"> von </w:t>
          </w:r>
          <w:r w:rsidRPr="001C1CB0">
            <w:rPr>
              <w:sz w:val="14"/>
            </w:rPr>
            <w:fldChar w:fldCharType="begin"/>
          </w:r>
          <w:r w:rsidRPr="001C1CB0">
            <w:rPr>
              <w:sz w:val="14"/>
              <w:szCs w:val="14"/>
            </w:rPr>
            <w:instrText xml:space="preserve"> NUMPAGES </w:instrText>
          </w:r>
          <w:r w:rsidRPr="001C1CB0">
            <w:rPr>
              <w:sz w:val="14"/>
            </w:rPr>
            <w:fldChar w:fldCharType="separate"/>
          </w:r>
          <w:r w:rsidR="00C97997">
            <w:rPr>
              <w:noProof/>
              <w:sz w:val="14"/>
              <w:szCs w:val="14"/>
            </w:rPr>
            <w:t>2</w:t>
          </w:r>
          <w:r w:rsidRPr="001C1CB0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4694DD15" w14:textId="77777777" w:rsidR="00EA4E17" w:rsidRPr="004B239B" w:rsidRDefault="00EA4E17" w:rsidP="001C1CB0">
          <w:pPr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04AAB715" wp14:editId="243E40A0">
                <wp:extent cx="943200" cy="324000"/>
                <wp:effectExtent l="0" t="0" r="0" b="0"/>
                <wp:docPr id="1" name="Bild 14" descr="Beschreibung: CHG_Logo_rgb_300dpi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79596" w14:textId="77777777" w:rsidR="00EA4E17" w:rsidRDefault="00EA4E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102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EA4E17" w:rsidRPr="004B239B" w14:paraId="4664DE60" w14:textId="77777777" w:rsidTr="00876DAC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5566CFE0" w14:textId="39E4D90C" w:rsidR="00EA4E17" w:rsidRPr="004B239B" w:rsidRDefault="00EA4E17" w:rsidP="001C1CB0">
          <w:pPr>
            <w:pStyle w:val="Titel"/>
          </w:pPr>
          <w:r>
            <w:rPr>
              <w:rFonts w:eastAsia="Times New Roman"/>
              <w:color w:val="auto"/>
            </w:rPr>
            <w:t>pressemitteilung</w:t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6441ABB3" w14:textId="77777777" w:rsidR="00EA4E17" w:rsidRPr="004B239B" w:rsidRDefault="00EA4E17" w:rsidP="001C1CB0">
          <w:pPr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26B3D561" wp14:editId="5C0DAF2C">
                <wp:extent cx="943200" cy="324000"/>
                <wp:effectExtent l="0" t="0" r="0" b="0"/>
                <wp:docPr id="13" name="Bild 14" descr="Beschreibung: CHG_Logo_rgb_300dpi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A018E" w14:textId="77777777" w:rsidR="00EA4E17" w:rsidRDefault="00EA4E17" w:rsidP="004B23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FC22692"/>
    <w:lvl w:ilvl="0">
      <w:start w:val="1"/>
      <w:numFmt w:val="bullet"/>
      <w:pStyle w:val="Aufzhlungszeichen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1" w15:restartNumberingAfterBreak="0">
    <w:nsid w:val="013F7503"/>
    <w:multiLevelType w:val="hybridMultilevel"/>
    <w:tmpl w:val="ACACC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0A2"/>
    <w:multiLevelType w:val="hybridMultilevel"/>
    <w:tmpl w:val="3C3E9F72"/>
    <w:lvl w:ilvl="0" w:tplc="617EBC0A">
      <w:start w:val="1"/>
      <w:numFmt w:val="bullet"/>
      <w:pStyle w:val="AufzhlungspunkteCHG-MERIDIAN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u w:color="D5221E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227E3C"/>
    <w:multiLevelType w:val="hybridMultilevel"/>
    <w:tmpl w:val="E99EEA10"/>
    <w:lvl w:ilvl="0" w:tplc="E5EACF74">
      <w:start w:val="1"/>
      <w:numFmt w:val="bullet"/>
      <w:pStyle w:val="Aufzhlungschwar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89EB9A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 w:tplc="48460ED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8347D89"/>
    <w:multiLevelType w:val="hybridMultilevel"/>
    <w:tmpl w:val="99EEC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0762"/>
    <w:multiLevelType w:val="hybridMultilevel"/>
    <w:tmpl w:val="C262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33D4B"/>
    <w:multiLevelType w:val="hybridMultilevel"/>
    <w:tmpl w:val="D33EAB88"/>
    <w:lvl w:ilvl="0" w:tplc="16CC02C4">
      <w:start w:val="1"/>
      <w:numFmt w:val="bullet"/>
      <w:pStyle w:val="Aufzhlung"/>
      <w:lvlText w:val=""/>
      <w:lvlJc w:val="left"/>
      <w:pPr>
        <w:ind w:left="567" w:hanging="567"/>
      </w:pPr>
      <w:rPr>
        <w:rFonts w:ascii="Symbol" w:hAnsi="Symbol" w:hint="default"/>
        <w:color w:val="ACA53D"/>
        <w:u w:color="ACA53D"/>
      </w:rPr>
    </w:lvl>
    <w:lvl w:ilvl="1" w:tplc="7384EC68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CA53D"/>
        <w:u w:color="ACA53D"/>
      </w:rPr>
    </w:lvl>
    <w:lvl w:ilvl="2" w:tplc="E1BA354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CA53D"/>
        <w:u w:color="ACA53D"/>
      </w:rPr>
    </w:lvl>
    <w:lvl w:ilvl="3" w:tplc="6C0A5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CA53D"/>
        <w:u w:color="ACA53D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3032D0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E2E54"/>
    <w:multiLevelType w:val="hybridMultilevel"/>
    <w:tmpl w:val="15B41528"/>
    <w:lvl w:ilvl="0" w:tplc="A81CB11E">
      <w:start w:val="1"/>
      <w:numFmt w:val="bullet"/>
      <w:pStyle w:val="Listenfortsetzung"/>
      <w:lvlText w:val=""/>
      <w:lvlJc w:val="left"/>
      <w:pPr>
        <w:ind w:left="1003" w:hanging="360"/>
      </w:pPr>
      <w:rPr>
        <w:rFonts w:ascii="Symbol" w:hAnsi="Symbol" w:hint="default"/>
        <w:color w:val="ACA53D"/>
        <w:u w:color="ACA53D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A4B498E"/>
    <w:multiLevelType w:val="multilevel"/>
    <w:tmpl w:val="9E164DB2"/>
    <w:styleLink w:val="111111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  <w:color w:val="000000" w:themeColor="text1"/>
        <w:sz w:val="14"/>
        <w:u w:color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 w:themeColor="text1"/>
        <w:sz w:val="19"/>
        <w:u w:val="none" w:color="000000" w:themeColor="text1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E4D0DA6"/>
    <w:multiLevelType w:val="hybridMultilevel"/>
    <w:tmpl w:val="3F82F030"/>
    <w:lvl w:ilvl="0" w:tplc="04070019">
      <w:start w:val="1"/>
      <w:numFmt w:val="lowerLetter"/>
      <w:pStyle w:val="Alphabetisch"/>
      <w:lvlText w:val="%1."/>
      <w:lvlJc w:val="left"/>
      <w:pPr>
        <w:ind w:left="1428" w:hanging="360"/>
      </w:pPr>
    </w:lvl>
    <w:lvl w:ilvl="1" w:tplc="6C0A568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CA53D"/>
        <w:u w:color="ACA53D"/>
      </w:rPr>
    </w:lvl>
    <w:lvl w:ilvl="2" w:tplc="04070019">
      <w:start w:val="1"/>
      <w:numFmt w:val="lowerLetter"/>
      <w:lvlText w:val="%3."/>
      <w:lvlJc w:val="left"/>
      <w:pPr>
        <w:ind w:left="2868" w:hanging="180"/>
      </w:pPr>
    </w:lvl>
    <w:lvl w:ilvl="3" w:tplc="04070019">
      <w:start w:val="1"/>
      <w:numFmt w:val="lowerLetter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8533F3"/>
    <w:multiLevelType w:val="multilevel"/>
    <w:tmpl w:val="3B28E12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7A716F"/>
        <w:sz w:val="14"/>
        <w:u w:color="7A716F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2D823C6"/>
    <w:multiLevelType w:val="hybridMultilevel"/>
    <w:tmpl w:val="1BBEC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70"/>
  <w:drawingGridVerticalSpacing w:val="9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6"/>
    <w:rsid w:val="00033B44"/>
    <w:rsid w:val="000378A5"/>
    <w:rsid w:val="00071754"/>
    <w:rsid w:val="000733A9"/>
    <w:rsid w:val="00073828"/>
    <w:rsid w:val="000B3AF2"/>
    <w:rsid w:val="000C5939"/>
    <w:rsid w:val="000D12FA"/>
    <w:rsid w:val="000E03AB"/>
    <w:rsid w:val="00135EF9"/>
    <w:rsid w:val="00183D81"/>
    <w:rsid w:val="001843FD"/>
    <w:rsid w:val="0019557C"/>
    <w:rsid w:val="001C1CB0"/>
    <w:rsid w:val="001C29D2"/>
    <w:rsid w:val="001D78E7"/>
    <w:rsid w:val="001E2E86"/>
    <w:rsid w:val="001F20B0"/>
    <w:rsid w:val="00200130"/>
    <w:rsid w:val="00207023"/>
    <w:rsid w:val="002825B2"/>
    <w:rsid w:val="00297A75"/>
    <w:rsid w:val="002A1BB4"/>
    <w:rsid w:val="002D4CE9"/>
    <w:rsid w:val="002D54AF"/>
    <w:rsid w:val="002E64A0"/>
    <w:rsid w:val="00316E05"/>
    <w:rsid w:val="003438C2"/>
    <w:rsid w:val="0037598B"/>
    <w:rsid w:val="00396840"/>
    <w:rsid w:val="003B6787"/>
    <w:rsid w:val="003E4E09"/>
    <w:rsid w:val="003E4F4F"/>
    <w:rsid w:val="00402F61"/>
    <w:rsid w:val="00423CD4"/>
    <w:rsid w:val="00424E10"/>
    <w:rsid w:val="004361B9"/>
    <w:rsid w:val="00446FAA"/>
    <w:rsid w:val="00454F4F"/>
    <w:rsid w:val="0049117B"/>
    <w:rsid w:val="00492B12"/>
    <w:rsid w:val="004B239B"/>
    <w:rsid w:val="004C79EB"/>
    <w:rsid w:val="004D0683"/>
    <w:rsid w:val="0050390E"/>
    <w:rsid w:val="0051006F"/>
    <w:rsid w:val="00514EA3"/>
    <w:rsid w:val="00547CF9"/>
    <w:rsid w:val="005571B7"/>
    <w:rsid w:val="00594930"/>
    <w:rsid w:val="005C6B36"/>
    <w:rsid w:val="005E46B1"/>
    <w:rsid w:val="00607BCD"/>
    <w:rsid w:val="0061248D"/>
    <w:rsid w:val="00631264"/>
    <w:rsid w:val="00636ECB"/>
    <w:rsid w:val="00637462"/>
    <w:rsid w:val="0064269A"/>
    <w:rsid w:val="006508AC"/>
    <w:rsid w:val="00670431"/>
    <w:rsid w:val="006779EB"/>
    <w:rsid w:val="00696F18"/>
    <w:rsid w:val="006A2518"/>
    <w:rsid w:val="006A61DF"/>
    <w:rsid w:val="006F4924"/>
    <w:rsid w:val="00705AD7"/>
    <w:rsid w:val="00776FEC"/>
    <w:rsid w:val="00782A9A"/>
    <w:rsid w:val="00790533"/>
    <w:rsid w:val="007A29C0"/>
    <w:rsid w:val="007C5852"/>
    <w:rsid w:val="007C5F89"/>
    <w:rsid w:val="007D6C5C"/>
    <w:rsid w:val="007D71AC"/>
    <w:rsid w:val="007E3EA6"/>
    <w:rsid w:val="0083557B"/>
    <w:rsid w:val="00835936"/>
    <w:rsid w:val="00861E23"/>
    <w:rsid w:val="00866736"/>
    <w:rsid w:val="0087331B"/>
    <w:rsid w:val="00876DAC"/>
    <w:rsid w:val="0088563B"/>
    <w:rsid w:val="008A3F89"/>
    <w:rsid w:val="008B40D2"/>
    <w:rsid w:val="008C42B2"/>
    <w:rsid w:val="008F7419"/>
    <w:rsid w:val="00935EB9"/>
    <w:rsid w:val="00952F92"/>
    <w:rsid w:val="00967F7E"/>
    <w:rsid w:val="0097374D"/>
    <w:rsid w:val="00983ECD"/>
    <w:rsid w:val="009877C4"/>
    <w:rsid w:val="009975EA"/>
    <w:rsid w:val="009A6AFE"/>
    <w:rsid w:val="009A703D"/>
    <w:rsid w:val="009D3175"/>
    <w:rsid w:val="009F5933"/>
    <w:rsid w:val="00A01D16"/>
    <w:rsid w:val="00A0428F"/>
    <w:rsid w:val="00A12C43"/>
    <w:rsid w:val="00A3140C"/>
    <w:rsid w:val="00A71665"/>
    <w:rsid w:val="00AA3DD5"/>
    <w:rsid w:val="00AC1358"/>
    <w:rsid w:val="00AF68F1"/>
    <w:rsid w:val="00B0444F"/>
    <w:rsid w:val="00B3580B"/>
    <w:rsid w:val="00B418DD"/>
    <w:rsid w:val="00B7094D"/>
    <w:rsid w:val="00B72201"/>
    <w:rsid w:val="00B760B5"/>
    <w:rsid w:val="00C053F7"/>
    <w:rsid w:val="00C16AE2"/>
    <w:rsid w:val="00C262D1"/>
    <w:rsid w:val="00C34BA7"/>
    <w:rsid w:val="00C53357"/>
    <w:rsid w:val="00C77607"/>
    <w:rsid w:val="00C81737"/>
    <w:rsid w:val="00C96EAA"/>
    <w:rsid w:val="00C97997"/>
    <w:rsid w:val="00D1668A"/>
    <w:rsid w:val="00D42E63"/>
    <w:rsid w:val="00D86455"/>
    <w:rsid w:val="00D91F94"/>
    <w:rsid w:val="00D922A8"/>
    <w:rsid w:val="00DB0401"/>
    <w:rsid w:val="00DB43C2"/>
    <w:rsid w:val="00DC0355"/>
    <w:rsid w:val="00DC18AE"/>
    <w:rsid w:val="00DD5E91"/>
    <w:rsid w:val="00DE0477"/>
    <w:rsid w:val="00DF7CBF"/>
    <w:rsid w:val="00E03C28"/>
    <w:rsid w:val="00E16161"/>
    <w:rsid w:val="00E42D78"/>
    <w:rsid w:val="00E450E6"/>
    <w:rsid w:val="00E62FE0"/>
    <w:rsid w:val="00E6646D"/>
    <w:rsid w:val="00E71BD9"/>
    <w:rsid w:val="00E72815"/>
    <w:rsid w:val="00E74574"/>
    <w:rsid w:val="00E75E36"/>
    <w:rsid w:val="00E82FF2"/>
    <w:rsid w:val="00E86670"/>
    <w:rsid w:val="00E871EC"/>
    <w:rsid w:val="00E92513"/>
    <w:rsid w:val="00E950B0"/>
    <w:rsid w:val="00E96A23"/>
    <w:rsid w:val="00EA26F3"/>
    <w:rsid w:val="00EA4E17"/>
    <w:rsid w:val="00EA56DA"/>
    <w:rsid w:val="00EA583C"/>
    <w:rsid w:val="00EA74FA"/>
    <w:rsid w:val="00EB106D"/>
    <w:rsid w:val="00EB5AEE"/>
    <w:rsid w:val="00EC1B30"/>
    <w:rsid w:val="00EC3001"/>
    <w:rsid w:val="00F17AF1"/>
    <w:rsid w:val="00F342E4"/>
    <w:rsid w:val="00F44E80"/>
    <w:rsid w:val="00F85A1C"/>
    <w:rsid w:val="00FB602A"/>
    <w:rsid w:val="00FC259B"/>
    <w:rsid w:val="00FD1204"/>
    <w:rsid w:val="00FE15DA"/>
    <w:rsid w:val="00FE4C11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291D4B"/>
  <w15:docId w15:val="{55AE8CAC-4E6B-4E49-B9B9-B63443F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4"/>
        <w:szCs w:val="1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aliases w:val="1 Standard Text"/>
    <w:qFormat/>
    <w:rsid w:val="00492B12"/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4E10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7A716F"/>
      <w:szCs w:val="28"/>
    </w:rPr>
  </w:style>
  <w:style w:type="paragraph" w:styleId="berschrift2">
    <w:name w:val="heading 2"/>
    <w:aliases w:val="CHG-Titel"/>
    <w:basedOn w:val="berschrift1"/>
    <w:next w:val="Standard"/>
    <w:link w:val="berschrift2Zchn"/>
    <w:uiPriority w:val="9"/>
    <w:qFormat/>
    <w:rsid w:val="00FD1204"/>
    <w:pPr>
      <w:numPr>
        <w:numId w:val="0"/>
      </w:numPr>
      <w:spacing w:before="0" w:after="120"/>
      <w:outlineLvl w:val="1"/>
    </w:pPr>
    <w:rPr>
      <w:color w:val="000000" w:themeColor="text1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424E10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24E10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16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24E1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3C38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24E1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8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24E1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24E1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24E1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haltsverzeichnisberschrift">
    <w:name w:val="TOC Heading"/>
    <w:basedOn w:val="Standard"/>
    <w:next w:val="Standard"/>
    <w:uiPriority w:val="39"/>
    <w:semiHidden/>
    <w:qFormat/>
    <w:rsid w:val="00424E10"/>
    <w:pPr>
      <w:spacing w:before="120" w:after="120"/>
    </w:pPr>
    <w:rPr>
      <w:b/>
      <w:color w:val="7A716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4E10"/>
    <w:rPr>
      <w:rFonts w:eastAsiaTheme="majorEastAsia" w:cstheme="majorBidi"/>
      <w:b/>
      <w:bCs/>
      <w:color w:val="7A716F"/>
      <w:szCs w:val="28"/>
    </w:rPr>
  </w:style>
  <w:style w:type="character" w:customStyle="1" w:styleId="berschrift2Zchn">
    <w:name w:val="Überschrift 2 Zchn"/>
    <w:aliases w:val="CHG-Titel Zchn"/>
    <w:basedOn w:val="Absatz-Standardschriftart"/>
    <w:link w:val="berschrift2"/>
    <w:uiPriority w:val="9"/>
    <w:rsid w:val="00FD1204"/>
    <w:rPr>
      <w:rFonts w:eastAsiaTheme="majorEastAsia" w:cstheme="majorBidi"/>
      <w:b/>
      <w:bCs/>
      <w:color w:val="000000" w:themeColor="text1"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4E10"/>
    <w:rPr>
      <w:rFonts w:eastAsiaTheme="majorEastAsia" w:cstheme="majorBidi"/>
      <w:b/>
      <w:color w:val="7A716F"/>
      <w:szCs w:val="28"/>
    </w:rPr>
  </w:style>
  <w:style w:type="table" w:styleId="Tabellenraster">
    <w:name w:val="Table Grid"/>
    <w:uiPriority w:val="59"/>
    <w:rsid w:val="0087331B"/>
    <w:rPr>
      <w:color w:val="000000" w:themeColor="text1"/>
    </w:rPr>
    <w:tblPr>
      <w:tblBorders>
        <w:insideH w:val="single" w:sz="4" w:space="0" w:color="7A716F"/>
        <w:insideV w:val="single" w:sz="4" w:space="0" w:color="7A716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Aufzhlung">
    <w:name w:val="Aufzählung"/>
    <w:basedOn w:val="Standard"/>
    <w:qFormat/>
    <w:rsid w:val="00424E10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4E10"/>
    <w:rPr>
      <w:rFonts w:asciiTheme="majorHAnsi" w:eastAsiaTheme="majorEastAsia" w:hAnsiTheme="majorHAnsi" w:cstheme="majorBidi"/>
      <w:b/>
      <w:bCs/>
      <w:i/>
      <w:iCs/>
      <w:color w:val="7A716F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4E10"/>
    <w:rPr>
      <w:rFonts w:asciiTheme="majorHAnsi" w:eastAsiaTheme="majorEastAsia" w:hAnsiTheme="majorHAnsi" w:cstheme="majorBidi"/>
      <w:color w:val="3C383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4E10"/>
    <w:rPr>
      <w:rFonts w:asciiTheme="majorHAnsi" w:eastAsiaTheme="majorEastAsia" w:hAnsiTheme="majorHAnsi" w:cstheme="majorBidi"/>
      <w:i/>
      <w:iCs/>
      <w:color w:val="3C383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4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4E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4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E4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B36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rsid w:val="003E4F4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C6B36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3E4F4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B36"/>
    <w:rPr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before="120" w:after="120"/>
    </w:pPr>
    <w:rPr>
      <w:b/>
      <w:noProof/>
      <w:color w:val="7A716F"/>
    </w:rPr>
  </w:style>
  <w:style w:type="paragraph" w:styleId="Verzeichnis2">
    <w:name w:val="toc 2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after="120"/>
    </w:pPr>
    <w:rPr>
      <w:color w:val="7A716F"/>
    </w:rPr>
  </w:style>
  <w:style w:type="paragraph" w:styleId="Verzeichnis3">
    <w:name w:val="toc 3"/>
    <w:basedOn w:val="Standard"/>
    <w:next w:val="Standard"/>
    <w:autoRedefine/>
    <w:uiPriority w:val="39"/>
    <w:semiHidden/>
    <w:rsid w:val="00D86455"/>
    <w:pPr>
      <w:tabs>
        <w:tab w:val="left" w:pos="567"/>
        <w:tab w:val="right" w:leader="dot" w:pos="9072"/>
      </w:tabs>
      <w:spacing w:after="120"/>
    </w:pPr>
    <w:rPr>
      <w:noProof/>
      <w:color w:val="7A716F"/>
    </w:rPr>
  </w:style>
  <w:style w:type="character" w:styleId="Hyperlink">
    <w:name w:val="Hyperlink"/>
    <w:basedOn w:val="Absatz-Standardschriftart"/>
    <w:uiPriority w:val="99"/>
    <w:rsid w:val="00207023"/>
    <w:rPr>
      <w:color w:val="7A716F" w:themeColor="hyperlink"/>
      <w:u w:val="single"/>
    </w:rPr>
  </w:style>
  <w:style w:type="table" w:styleId="FarbigesRaster-Akzent6">
    <w:name w:val="Colorful Grid Accent 6"/>
    <w:basedOn w:val="NormaleTabelle"/>
    <w:uiPriority w:val="73"/>
    <w:rsid w:val="003B67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D" w:themeFill="accent6" w:themeFillTint="33"/>
    </w:tcPr>
    <w:tblStylePr w:type="firstRow">
      <w:rPr>
        <w:b/>
        <w:bCs/>
      </w:rPr>
      <w:tblPr/>
      <w:tcPr>
        <w:shd w:val="clear" w:color="auto" w:fill="C2C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B498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B4980" w:themeFill="accent6" w:themeFillShade="BF"/>
      </w:tcPr>
    </w:tblStylePr>
    <w:tblStylePr w:type="band1Vert">
      <w:tblPr/>
      <w:tcPr>
        <w:shd w:val="clear" w:color="auto" w:fill="B4B2D3" w:themeFill="accent6" w:themeFillTint="7F"/>
      </w:tcPr>
    </w:tblStylePr>
    <w:tblStylePr w:type="band1Horz">
      <w:tblPr/>
      <w:tcPr>
        <w:shd w:val="clear" w:color="auto" w:fill="B4B2D3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424E10"/>
    <w:pPr>
      <w:ind w:left="720"/>
      <w:contextualSpacing/>
    </w:pPr>
  </w:style>
  <w:style w:type="paragraph" w:customStyle="1" w:styleId="Nummerierung">
    <w:name w:val="Nummerierung"/>
    <w:basedOn w:val="Aufzhlung"/>
    <w:qFormat/>
    <w:rsid w:val="00492B12"/>
    <w:pPr>
      <w:numPr>
        <w:numId w:val="7"/>
      </w:numPr>
    </w:pPr>
  </w:style>
  <w:style w:type="numbering" w:styleId="111111">
    <w:name w:val="Outline List 2"/>
    <w:basedOn w:val="KeineListe"/>
    <w:uiPriority w:val="99"/>
    <w:semiHidden/>
    <w:unhideWhenUsed/>
    <w:rsid w:val="00637462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DD5E91"/>
    <w:pPr>
      <w:numPr>
        <w:numId w:val="2"/>
      </w:numPr>
      <w:contextualSpacing/>
    </w:pPr>
  </w:style>
  <w:style w:type="paragraph" w:styleId="Listenfortsetzung">
    <w:name w:val="List Continue"/>
    <w:basedOn w:val="Standard"/>
    <w:uiPriority w:val="99"/>
    <w:semiHidden/>
    <w:rsid w:val="00DD5E91"/>
    <w:pPr>
      <w:numPr>
        <w:numId w:val="3"/>
      </w:numPr>
      <w:spacing w:after="120"/>
      <w:contextualSpacing/>
    </w:pPr>
  </w:style>
  <w:style w:type="paragraph" w:customStyle="1" w:styleId="Alphabetisch">
    <w:name w:val="Alphabetisch"/>
    <w:basedOn w:val="Nummerierung"/>
    <w:qFormat/>
    <w:rsid w:val="00424E10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24E10"/>
    <w:pPr>
      <w:spacing w:before="120" w:after="120"/>
      <w:contextualSpacing/>
    </w:pPr>
    <w:rPr>
      <w:rFonts w:eastAsiaTheme="majorEastAsia" w:cstheme="majorBidi"/>
      <w:caps/>
      <w:color w:val="7A716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4E10"/>
    <w:rPr>
      <w:rFonts w:eastAsiaTheme="majorEastAsia" w:cstheme="majorBidi"/>
      <w:caps/>
      <w:color w:val="7A716F"/>
      <w:spacing w:val="5"/>
      <w:kern w:val="28"/>
      <w:sz w:val="48"/>
      <w:szCs w:val="52"/>
    </w:rPr>
  </w:style>
  <w:style w:type="paragraph" w:customStyle="1" w:styleId="Aufzhlungschwarz">
    <w:name w:val="Aufzählung schwarz"/>
    <w:basedOn w:val="Standard"/>
    <w:qFormat/>
    <w:rsid w:val="0061248D"/>
    <w:pPr>
      <w:numPr>
        <w:numId w:val="9"/>
      </w:numPr>
      <w:ind w:left="714" w:hanging="357"/>
    </w:pPr>
    <w:rPr>
      <w:color w:val="000000" w:themeColor="text1"/>
      <w:szCs w:val="19"/>
    </w:rPr>
  </w:style>
  <w:style w:type="table" w:styleId="MittlereSchattierung1-Akzent5">
    <w:name w:val="Medium Shading 1 Accent 5"/>
    <w:basedOn w:val="NormaleTabelle"/>
    <w:uiPriority w:val="63"/>
    <w:rsid w:val="003B6787"/>
    <w:tblPr>
      <w:tblStyleRowBandSize w:val="1"/>
      <w:tblStyleColBandSize w:val="1"/>
      <w:tblBorders>
        <w:top w:val="single" w:sz="8" w:space="0" w:color="C8C265" w:themeColor="accent5" w:themeTint="BF"/>
        <w:left w:val="single" w:sz="8" w:space="0" w:color="C8C265" w:themeColor="accent5" w:themeTint="BF"/>
        <w:bottom w:val="single" w:sz="8" w:space="0" w:color="C8C265" w:themeColor="accent5" w:themeTint="BF"/>
        <w:right w:val="single" w:sz="8" w:space="0" w:color="C8C265" w:themeColor="accent5" w:themeTint="BF"/>
        <w:insideH w:val="single" w:sz="8" w:space="0" w:color="C8C2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265" w:themeColor="accent5" w:themeTint="BF"/>
          <w:left w:val="single" w:sz="8" w:space="0" w:color="C8C265" w:themeColor="accent5" w:themeTint="BF"/>
          <w:bottom w:val="single" w:sz="8" w:space="0" w:color="C8C265" w:themeColor="accent5" w:themeTint="BF"/>
          <w:right w:val="single" w:sz="8" w:space="0" w:color="C8C265" w:themeColor="accent5" w:themeTint="BF"/>
          <w:insideH w:val="nil"/>
          <w:insideV w:val="nil"/>
        </w:tcBorders>
        <w:shd w:val="clear" w:color="auto" w:fill="ACA5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265" w:themeColor="accent5" w:themeTint="BF"/>
          <w:left w:val="single" w:sz="8" w:space="0" w:color="C8C265" w:themeColor="accent5" w:themeTint="BF"/>
          <w:bottom w:val="single" w:sz="8" w:space="0" w:color="C8C265" w:themeColor="accent5" w:themeTint="BF"/>
          <w:right w:val="single" w:sz="8" w:space="0" w:color="C8C2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rsid w:val="003B6787"/>
    <w:tblPr>
      <w:tblStyleRowBandSize w:val="1"/>
      <w:tblStyleColBandSize w:val="1"/>
      <w:tblBorders>
        <w:top w:val="single" w:sz="8" w:space="0" w:color="ACA53D" w:themeColor="accent5"/>
        <w:left w:val="single" w:sz="8" w:space="0" w:color="ACA53D" w:themeColor="accent5"/>
        <w:bottom w:val="single" w:sz="8" w:space="0" w:color="ACA53D" w:themeColor="accent5"/>
        <w:right w:val="single" w:sz="8" w:space="0" w:color="ACA5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5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  <w:tblStylePr w:type="band1Horz">
      <w:tblPr/>
      <w:tcPr>
        <w:tcBorders>
          <w:top w:val="single" w:sz="8" w:space="0" w:color="ACA53D" w:themeColor="accent5"/>
          <w:left w:val="single" w:sz="8" w:space="0" w:color="ACA53D" w:themeColor="accent5"/>
          <w:bottom w:val="single" w:sz="8" w:space="0" w:color="ACA53D" w:themeColor="accent5"/>
          <w:right w:val="single" w:sz="8" w:space="0" w:color="ACA53D" w:themeColor="accent5"/>
        </w:tcBorders>
      </w:tcPr>
    </w:tblStylePr>
  </w:style>
  <w:style w:type="table" w:customStyle="1" w:styleId="CHGTable1">
    <w:name w:val="CHG Table 1"/>
    <w:basedOn w:val="NormaleTabelle"/>
    <w:uiPriority w:val="99"/>
    <w:rsid w:val="0087331B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CA53D" w:themeFill="accent5"/>
      </w:tcPr>
    </w:tblStylePr>
    <w:tblStylePr w:type="band2Horz">
      <w:pPr>
        <w:jc w:val="left"/>
      </w:pPr>
      <w:tblPr/>
      <w:tcPr>
        <w:shd w:val="clear" w:color="auto" w:fill="C5BBBA"/>
        <w:vAlign w:val="center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B239B"/>
    <w:rPr>
      <w:color w:val="000000" w:themeColor="text1"/>
      <w:sz w:val="19"/>
      <w:szCs w:val="19"/>
    </w:rPr>
    <w:tblPr>
      <w:tblBorders>
        <w:insideH w:val="single" w:sz="4" w:space="0" w:color="7A716F"/>
        <w:insideV w:val="single" w:sz="4" w:space="0" w:color="7A716F"/>
      </w:tblBorders>
      <w:tblCellMar>
        <w:left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Tabellenraster2">
    <w:name w:val="Tabellenraster2"/>
    <w:basedOn w:val="NormaleTabelle"/>
    <w:next w:val="Tabellenraster"/>
    <w:uiPriority w:val="59"/>
    <w:rsid w:val="00EC1B30"/>
    <w:rPr>
      <w:color w:val="000000" w:themeColor="text1"/>
      <w:szCs w:val="19"/>
    </w:rPr>
    <w:tblPr>
      <w:tblBorders>
        <w:insideH w:val="single" w:sz="4" w:space="0" w:color="7A716F"/>
        <w:insideV w:val="single" w:sz="4" w:space="0" w:color="7A716F"/>
      </w:tblBorders>
      <w:tblCellMar>
        <w:left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Tabellenraster3">
    <w:name w:val="Tabellenraster3"/>
    <w:basedOn w:val="NormaleTabelle"/>
    <w:next w:val="Tabellenraster"/>
    <w:uiPriority w:val="59"/>
    <w:rsid w:val="00547CF9"/>
    <w:rPr>
      <w:color w:val="000000" w:themeColor="text1"/>
      <w:sz w:val="19"/>
      <w:szCs w:val="19"/>
    </w:rPr>
    <w:tblPr>
      <w:tblBorders>
        <w:insideH w:val="single" w:sz="4" w:space="0" w:color="7A716F"/>
        <w:insideV w:val="single" w:sz="4" w:space="0" w:color="7A716F"/>
      </w:tblBorders>
      <w:tblCellMar>
        <w:left w:w="0" w:type="dxa"/>
        <w:right w:w="0" w:type="dxa"/>
      </w:tblCellMar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paragraph" w:customStyle="1" w:styleId="NumberingVertrag">
    <w:name w:val="Numbering Vertrag"/>
    <w:basedOn w:val="Nummerierung"/>
    <w:qFormat/>
    <w:rsid w:val="00EC1B30"/>
    <w:pPr>
      <w:numPr>
        <w:numId w:val="0"/>
      </w:numPr>
      <w:ind w:left="357"/>
    </w:pPr>
    <w:rPr>
      <w:color w:val="000000" w:themeColor="text1"/>
      <w:szCs w:val="19"/>
    </w:rPr>
  </w:style>
  <w:style w:type="paragraph" w:customStyle="1" w:styleId="AufzhlungspunkteCHG-MERIDIAN">
    <w:name w:val="Aufzählungspunkte CHG-MERIDIAN"/>
    <w:basedOn w:val="Standard"/>
    <w:link w:val="AufzhlungspunkteCHG-MERIDIANZchn"/>
    <w:autoRedefine/>
    <w:qFormat/>
    <w:rsid w:val="005571B7"/>
    <w:pPr>
      <w:numPr>
        <w:numId w:val="10"/>
      </w:numPr>
      <w:jc w:val="left"/>
    </w:pPr>
    <w:rPr>
      <w:rFonts w:eastAsia="Calibri" w:cs="Times New Roman"/>
      <w:color w:val="000000" w:themeColor="text1"/>
      <w:sz w:val="24"/>
      <w:szCs w:val="24"/>
    </w:r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866736"/>
    <w:pPr>
      <w:framePr w:w="7813" w:h="420" w:wrap="around" w:vAnchor="page" w:hAnchor="page" w:x="1186" w:y="3006" w:anchorLock="1"/>
      <w:spacing w:line="360" w:lineRule="auto"/>
      <w:jc w:val="left"/>
    </w:pPr>
    <w:rPr>
      <w:rFonts w:eastAsia="Calibri" w:cs="Times New Roman"/>
      <w:b/>
      <w:color w:val="000000" w:themeColor="text1"/>
      <w:sz w:val="30"/>
      <w:szCs w:val="30"/>
    </w:rPr>
  </w:style>
  <w:style w:type="character" w:customStyle="1" w:styleId="SchlagzeilePressemitteilungZchn">
    <w:name w:val="Schlagzeile Pressemitteilung Zchn"/>
    <w:link w:val="SchlagzeilePressemitteilung"/>
    <w:rsid w:val="00866736"/>
    <w:rPr>
      <w:rFonts w:eastAsia="Calibri" w:cs="Times New Roman"/>
      <w:b/>
      <w:color w:val="000000" w:themeColor="text1"/>
      <w:sz w:val="30"/>
      <w:szCs w:val="30"/>
    </w:rPr>
  </w:style>
  <w:style w:type="character" w:customStyle="1" w:styleId="AufzhlungspunkteCHG-MERIDIANZchn">
    <w:name w:val="Aufzählungspunkte CHG-MERIDIAN Zchn"/>
    <w:link w:val="AufzhlungspunkteCHG-MERIDIAN"/>
    <w:rsid w:val="005571B7"/>
    <w:rPr>
      <w:rFonts w:eastAsia="Calibri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g-meridi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CHG-MERIDIA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A716F"/>
      </a:accent1>
      <a:accent2>
        <a:srgbClr val="005F8C"/>
      </a:accent2>
      <a:accent3>
        <a:srgbClr val="553C6E"/>
      </a:accent3>
      <a:accent4>
        <a:srgbClr val="7B868F"/>
      </a:accent4>
      <a:accent5>
        <a:srgbClr val="ACA53D"/>
      </a:accent5>
      <a:accent6>
        <a:srgbClr val="6966A8"/>
      </a:accent6>
      <a:hlink>
        <a:srgbClr val="7A716F"/>
      </a:hlink>
      <a:folHlink>
        <a:srgbClr val="ACA53D"/>
      </a:folHlink>
    </a:clrScheme>
    <a:fontScheme name="CHG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9142-D367-4C2D-9527-B65694D3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A32280BC</Template>
  <TotalTime>0</TotalTime>
  <Pages>2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Steybe, Matthias</dc:creator>
  <cp:lastModifiedBy>Detzel, Raphael</cp:lastModifiedBy>
  <cp:revision>10</cp:revision>
  <cp:lastPrinted>2016-11-17T08:09:00Z</cp:lastPrinted>
  <dcterms:created xsi:type="dcterms:W3CDTF">2016-11-16T12:45:00Z</dcterms:created>
  <dcterms:modified xsi:type="dcterms:W3CDTF">2016-11-17T08:10:00Z</dcterms:modified>
</cp:coreProperties>
</file>